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1AAA" w14:textId="4AB8BF9A" w:rsidR="00D0388A" w:rsidRPr="00D0388A" w:rsidRDefault="00D0388A" w:rsidP="00D0388A">
      <w:pPr>
        <w:jc w:val="center"/>
        <w:rPr>
          <w:rFonts w:ascii="Segoe UI" w:hAnsi="Segoe UI" w:cs="Segoe UI"/>
          <w:b/>
          <w:color w:val="365F91" w:themeColor="accent1" w:themeShade="BF"/>
          <w:sz w:val="24"/>
          <w:szCs w:val="24"/>
        </w:rPr>
      </w:pPr>
      <w:bookmarkStart w:id="0" w:name="_Hlk126676661"/>
      <w:r w:rsidRPr="00D0388A">
        <w:rPr>
          <w:rFonts w:ascii="Segoe UI" w:hAnsi="Segoe UI" w:cs="Segoe UI"/>
          <w:b/>
          <w:color w:val="365F91" w:themeColor="accent1" w:themeShade="BF"/>
          <w:sz w:val="24"/>
          <w:szCs w:val="24"/>
        </w:rPr>
        <w:t>The impact of the recent political developments in Europe</w:t>
      </w:r>
    </w:p>
    <w:p w14:paraId="7D4B1B49" w14:textId="310D9E37" w:rsidR="00D0388A" w:rsidRPr="00D0388A" w:rsidRDefault="00D0388A" w:rsidP="00D0388A">
      <w:pPr>
        <w:jc w:val="center"/>
        <w:rPr>
          <w:rFonts w:ascii="Times New Roman" w:hAnsi="Times New Roman" w:cs="Times New Roman"/>
          <w:bCs/>
          <w:sz w:val="24"/>
          <w:szCs w:val="24"/>
        </w:rPr>
      </w:pPr>
      <w:r w:rsidRPr="00D0388A">
        <w:rPr>
          <w:rFonts w:ascii="Segoe UI" w:hAnsi="Segoe UI" w:cs="Segoe UI"/>
          <w:b/>
          <w:color w:val="365F91" w:themeColor="accent1" w:themeShade="BF"/>
          <w:sz w:val="24"/>
          <w:szCs w:val="24"/>
        </w:rPr>
        <w:t>on the resilience of SEDM Member Nations to anti-Western influence</w:t>
      </w:r>
    </w:p>
    <w:p w14:paraId="10278D3C" w14:textId="43871A6D" w:rsidR="00D0388A" w:rsidRPr="00D0388A" w:rsidRDefault="00D0388A" w:rsidP="00D0388A">
      <w:pPr>
        <w:spacing w:after="0" w:line="240" w:lineRule="auto"/>
        <w:jc w:val="center"/>
        <w:rPr>
          <w:rFonts w:ascii="Segoe UI" w:hAnsi="Segoe UI" w:cs="Segoe UI"/>
          <w:b/>
          <w:color w:val="1F497D" w:themeColor="text2"/>
          <w:sz w:val="24"/>
          <w:szCs w:val="24"/>
        </w:rPr>
      </w:pPr>
      <w:r w:rsidRPr="00D0388A">
        <w:rPr>
          <w:rFonts w:ascii="Segoe UI" w:hAnsi="Segoe UI" w:cs="Segoe UI"/>
          <w:b/>
          <w:color w:val="1F497D" w:themeColor="text2"/>
          <w:sz w:val="24"/>
          <w:szCs w:val="24"/>
        </w:rPr>
        <w:t>Draft Concept paper</w:t>
      </w:r>
    </w:p>
    <w:p w14:paraId="6A8067A7" w14:textId="6F4D2966" w:rsidR="00A02906" w:rsidRPr="00D0388A" w:rsidRDefault="00A02906" w:rsidP="00CE6A2E">
      <w:pPr>
        <w:rPr>
          <w:rFonts w:ascii="Segoe UI" w:hAnsi="Segoe UI" w:cs="Segoe UI"/>
          <w:b/>
          <w:color w:val="365F91" w:themeColor="accent1" w:themeShade="BF"/>
          <w:sz w:val="24"/>
          <w:szCs w:val="24"/>
        </w:rPr>
      </w:pPr>
    </w:p>
    <w:bookmarkEnd w:id="0"/>
    <w:p w14:paraId="7F0CFF58" w14:textId="09E80CF8" w:rsidR="002871DB" w:rsidRPr="00D0388A" w:rsidRDefault="002871DB" w:rsidP="002871DB">
      <w:pPr>
        <w:ind w:firstLine="720"/>
        <w:jc w:val="both"/>
        <w:rPr>
          <w:rFonts w:ascii="Segoe UI" w:hAnsi="Segoe UI" w:cs="Segoe UI"/>
          <w:bCs/>
          <w:color w:val="365F91" w:themeColor="accent1" w:themeShade="BF"/>
          <w:sz w:val="24"/>
          <w:szCs w:val="24"/>
        </w:rPr>
      </w:pPr>
      <w:r w:rsidRPr="00D0388A">
        <w:rPr>
          <w:rFonts w:ascii="Segoe UI" w:hAnsi="Segoe UI" w:cs="Segoe UI"/>
          <w:bCs/>
          <w:color w:val="365F91" w:themeColor="accent1" w:themeShade="BF"/>
          <w:sz w:val="24"/>
          <w:szCs w:val="24"/>
        </w:rPr>
        <w:t>In a political and social context overshadowed by uncertainty, the year 2025 and the near future appear to be an inevitable extension of the issues, crises, conflicts, and tensions that defined the previous year. At their core, none of these challenges have been resolved, making it highly likely that political, military, economic, ideological, and socio-cultural upheavals will continue to dominate our attention in the coming period. This will be particularly true in the expansive region stretching from Ukraine to the Middle East, and from Western Europe to Romania, Moldova, and further into Georgia.</w:t>
      </w:r>
    </w:p>
    <w:p w14:paraId="30ACD62B" w14:textId="34F3F178" w:rsidR="002871DB" w:rsidRPr="00D0388A" w:rsidRDefault="002871DB" w:rsidP="002871DB">
      <w:pPr>
        <w:ind w:firstLine="720"/>
        <w:jc w:val="both"/>
        <w:rPr>
          <w:rFonts w:ascii="Segoe UI" w:hAnsi="Segoe UI" w:cs="Segoe UI"/>
          <w:bCs/>
          <w:color w:val="365F91" w:themeColor="accent1" w:themeShade="BF"/>
          <w:sz w:val="24"/>
          <w:szCs w:val="24"/>
        </w:rPr>
      </w:pPr>
      <w:r w:rsidRPr="00D0388A">
        <w:rPr>
          <w:rFonts w:ascii="Segoe UI" w:hAnsi="Segoe UI" w:cs="Segoe UI"/>
          <w:bCs/>
          <w:color w:val="365F91" w:themeColor="accent1" w:themeShade="BF"/>
          <w:sz w:val="24"/>
          <w:szCs w:val="24"/>
        </w:rPr>
        <w:t xml:space="preserve">At the same time, however, it is plausible that some of the changes we fear may not come to pass, meaning the world may not experience the radical transformation predicted by those advocating for “total resets.” Taking into account recent developments, it appears that the near future could offer, alongside the turbulence, </w:t>
      </w:r>
      <w:r w:rsidR="003A3485" w:rsidRPr="00D0388A">
        <w:rPr>
          <w:rFonts w:ascii="Segoe UI" w:hAnsi="Segoe UI" w:cs="Segoe UI"/>
          <w:bCs/>
          <w:color w:val="365F91" w:themeColor="accent1" w:themeShade="BF"/>
          <w:sz w:val="24"/>
          <w:szCs w:val="24"/>
        </w:rPr>
        <w:t xml:space="preserve">a few </w:t>
      </w:r>
      <w:r w:rsidRPr="00D0388A">
        <w:rPr>
          <w:rFonts w:ascii="Segoe UI" w:hAnsi="Segoe UI" w:cs="Segoe UI"/>
          <w:bCs/>
          <w:color w:val="365F91" w:themeColor="accent1" w:themeShade="BF"/>
          <w:sz w:val="24"/>
          <w:szCs w:val="24"/>
        </w:rPr>
        <w:t>constructive resolutions on global, European, regional, or national levels, where our efforts and interests might align.</w:t>
      </w:r>
    </w:p>
    <w:p w14:paraId="71A10B8E" w14:textId="77777777" w:rsidR="002871DB" w:rsidRPr="00D0388A" w:rsidRDefault="002871DB" w:rsidP="002871DB">
      <w:pPr>
        <w:ind w:firstLine="720"/>
        <w:jc w:val="both"/>
        <w:rPr>
          <w:rFonts w:ascii="Segoe UI" w:hAnsi="Segoe UI" w:cs="Segoe UI"/>
          <w:bCs/>
          <w:color w:val="365F91" w:themeColor="accent1" w:themeShade="BF"/>
          <w:sz w:val="24"/>
          <w:szCs w:val="24"/>
        </w:rPr>
      </w:pPr>
      <w:r w:rsidRPr="00D0388A">
        <w:rPr>
          <w:rFonts w:ascii="Segoe UI" w:hAnsi="Segoe UI" w:cs="Segoe UI"/>
          <w:bCs/>
          <w:color w:val="365F91" w:themeColor="accent1" w:themeShade="BF"/>
          <w:sz w:val="24"/>
          <w:szCs w:val="24"/>
        </w:rPr>
        <w:t>Unfortunately, it is an undeniable reality that the member states of SEDM, along with other European nations and beyond, are grappling with a wide range of challenges. These include the heightened potential for conflict, with the risk of escalating existing wars and the emergence of new ones. Additionally, there is a growing erosion of trust in current political, economic, and institutional systems, which is contributing to the strengthening of revisionist movements.</w:t>
      </w:r>
    </w:p>
    <w:p w14:paraId="4A4541EB" w14:textId="77777777" w:rsidR="002871DB" w:rsidRPr="00D0388A" w:rsidRDefault="002871DB" w:rsidP="002871DB">
      <w:pPr>
        <w:ind w:firstLine="720"/>
        <w:jc w:val="both"/>
        <w:rPr>
          <w:rFonts w:ascii="Segoe UI" w:hAnsi="Segoe UI" w:cs="Segoe UI"/>
          <w:bCs/>
          <w:color w:val="365F91" w:themeColor="accent1" w:themeShade="BF"/>
          <w:sz w:val="24"/>
          <w:szCs w:val="24"/>
        </w:rPr>
      </w:pPr>
      <w:r w:rsidRPr="00D0388A">
        <w:rPr>
          <w:rFonts w:ascii="Segoe UI" w:hAnsi="Segoe UI" w:cs="Segoe UI"/>
          <w:bCs/>
          <w:color w:val="365F91" w:themeColor="accent1" w:themeShade="BF"/>
          <w:sz w:val="24"/>
          <w:szCs w:val="24"/>
        </w:rPr>
        <w:t xml:space="preserve">Economic developments in the region are increasingly concerning, and globally, experts are expressing more cautious views regarding the economic outlook for the next 2-3 years. This outlook reflects slowing growth in key economies, compounded by an aging population in developed countries, rising public debts, and inflation. Social media has demonstrated its destructive potential, proving to be an effective tool for manipulation in the hands of those who seek to spread hate speech, revisionism, and a confrontational mindset. Artificial intelligence and the emerging technologies linked to it remain poorly regulated, generating both positive and </w:t>
      </w:r>
      <w:r w:rsidRPr="00D0388A">
        <w:rPr>
          <w:rFonts w:ascii="Segoe UI" w:hAnsi="Segoe UI" w:cs="Segoe UI"/>
          <w:bCs/>
          <w:color w:val="365F91" w:themeColor="accent1" w:themeShade="BF"/>
          <w:sz w:val="24"/>
          <w:szCs w:val="24"/>
        </w:rPr>
        <w:lastRenderedPageBreak/>
        <w:t>negative consequences. Simultaneously, we are facing a profound crisis in education and a broader crisis of societal models, raising the risk of societal drift toward extremism. The instability of international relations and certain national political systems, whether democratic or not, is reshaping the interactions between major powers. The sudden changes in the international environment are directly impacting state interests and reshaping political strategies.</w:t>
      </w:r>
    </w:p>
    <w:p w14:paraId="5DFEAD9C" w14:textId="77777777" w:rsidR="002871DB" w:rsidRPr="00D0388A" w:rsidRDefault="002871DB" w:rsidP="002871DB">
      <w:pPr>
        <w:ind w:firstLine="720"/>
        <w:jc w:val="both"/>
        <w:rPr>
          <w:rFonts w:ascii="Segoe UI" w:hAnsi="Segoe UI" w:cs="Segoe UI"/>
          <w:bCs/>
          <w:color w:val="365F91" w:themeColor="accent1" w:themeShade="BF"/>
          <w:sz w:val="24"/>
          <w:szCs w:val="24"/>
        </w:rPr>
      </w:pPr>
      <w:r w:rsidRPr="00D0388A">
        <w:rPr>
          <w:rFonts w:ascii="Segoe UI" w:hAnsi="Segoe UI" w:cs="Segoe UI"/>
          <w:bCs/>
          <w:color w:val="365F91" w:themeColor="accent1" w:themeShade="BF"/>
          <w:sz w:val="24"/>
          <w:szCs w:val="24"/>
        </w:rPr>
        <w:t>Amidst this backdrop of challenges, it is clear that the countries of Southeast Europe, engaged in cooperation within the framework of the regional SEDM initiative, as well as other nations in the western vicinity of the former Soviet space, are under the influence of unique pressures, interests, and strategic stakes.</w:t>
      </w:r>
    </w:p>
    <w:p w14:paraId="0E572054" w14:textId="77777777" w:rsidR="002871DB" w:rsidRPr="00D0388A" w:rsidRDefault="002871DB" w:rsidP="002871DB">
      <w:pPr>
        <w:ind w:firstLine="720"/>
        <w:jc w:val="both"/>
        <w:rPr>
          <w:rFonts w:ascii="Segoe UI" w:hAnsi="Segoe UI" w:cs="Segoe UI"/>
          <w:bCs/>
          <w:color w:val="365F91" w:themeColor="accent1" w:themeShade="BF"/>
          <w:sz w:val="24"/>
          <w:szCs w:val="24"/>
        </w:rPr>
      </w:pPr>
      <w:r w:rsidRPr="00D0388A">
        <w:rPr>
          <w:rFonts w:ascii="Segoe UI" w:hAnsi="Segoe UI" w:cs="Segoe UI"/>
          <w:bCs/>
          <w:color w:val="365F91" w:themeColor="accent1" w:themeShade="BF"/>
          <w:sz w:val="24"/>
          <w:szCs w:val="24"/>
        </w:rPr>
        <w:t>At the same time, the efforts of NATO and the EU to bolster their global competitiveness and relevance are noteworthy. These institutions are focused on promoting and safeguarding democratic, Euro-Atlantic values, responding more swiftly and effectively to crises, and enhancing their overall resilience.</w:t>
      </w:r>
    </w:p>
    <w:p w14:paraId="3F7FE426" w14:textId="2E0BDABE" w:rsidR="002871DB" w:rsidRPr="00D0388A" w:rsidRDefault="002871DB" w:rsidP="002871DB">
      <w:pPr>
        <w:ind w:firstLine="720"/>
        <w:jc w:val="both"/>
        <w:rPr>
          <w:rFonts w:ascii="Segoe UI" w:hAnsi="Segoe UI" w:cs="Segoe UI"/>
          <w:bCs/>
          <w:color w:val="365F91" w:themeColor="accent1" w:themeShade="BF"/>
          <w:sz w:val="24"/>
          <w:szCs w:val="24"/>
        </w:rPr>
      </w:pPr>
      <w:r w:rsidRPr="00D0388A">
        <w:rPr>
          <w:rFonts w:ascii="Segoe UI" w:hAnsi="Segoe UI" w:cs="Segoe UI"/>
          <w:bCs/>
          <w:color w:val="365F91" w:themeColor="accent1" w:themeShade="BF"/>
          <w:sz w:val="24"/>
          <w:szCs w:val="24"/>
        </w:rPr>
        <w:t xml:space="preserve">Democracy, by its very nature, relies on the free expression of the population's preferences, choices, and desires, founded on principles of legality, without censorship and without insisting on absolute truths. The issue arises, however, when truth becomes a casualty of manipulation, disinformation, and the overwhelming flood of information in the online space. </w:t>
      </w:r>
      <w:r w:rsidR="003A3485" w:rsidRPr="00D0388A">
        <w:rPr>
          <w:rFonts w:ascii="Segoe UI" w:hAnsi="Segoe UI" w:cs="Segoe UI"/>
          <w:bCs/>
          <w:color w:val="365F91" w:themeColor="accent1" w:themeShade="BF"/>
          <w:sz w:val="24"/>
          <w:szCs w:val="24"/>
        </w:rPr>
        <w:t>Often, the truth is costly, complex, and frequently uncomfortable, while fictions are crafted to be appealing, captivating, and most of the time cheap (in relation to the asymmetric effects they can produce).</w:t>
      </w:r>
    </w:p>
    <w:p w14:paraId="28605109" w14:textId="77777777" w:rsidR="002871DB" w:rsidRPr="00D0388A" w:rsidRDefault="002871DB" w:rsidP="002871DB">
      <w:pPr>
        <w:ind w:firstLine="720"/>
        <w:jc w:val="both"/>
        <w:rPr>
          <w:rFonts w:ascii="Segoe UI" w:hAnsi="Segoe UI" w:cs="Segoe UI"/>
          <w:bCs/>
          <w:color w:val="365F91" w:themeColor="accent1" w:themeShade="BF"/>
          <w:sz w:val="24"/>
          <w:szCs w:val="24"/>
        </w:rPr>
      </w:pPr>
      <w:r w:rsidRPr="00D0388A">
        <w:rPr>
          <w:rFonts w:ascii="Segoe UI" w:hAnsi="Segoe UI" w:cs="Segoe UI"/>
          <w:bCs/>
          <w:color w:val="365F91" w:themeColor="accent1" w:themeShade="BF"/>
          <w:sz w:val="24"/>
          <w:szCs w:val="24"/>
        </w:rPr>
        <w:t>In a context where democracy grants equal weight to all opinions, we are observing a gradual erosion of democratic processes, accompanied by the rise of populism and the growing influence of extremism, which undermine social cohesion and the stability of democratic institutions within the region, including among the member states of SEDM.</w:t>
      </w:r>
    </w:p>
    <w:p w14:paraId="71C1C930" w14:textId="1CFBF4EC" w:rsidR="002871DB" w:rsidRDefault="002871DB" w:rsidP="002871DB">
      <w:pPr>
        <w:ind w:firstLine="720"/>
        <w:jc w:val="both"/>
        <w:rPr>
          <w:rFonts w:ascii="Segoe UI" w:hAnsi="Segoe UI" w:cs="Segoe UI"/>
          <w:bCs/>
          <w:color w:val="365F91" w:themeColor="accent1" w:themeShade="BF"/>
          <w:sz w:val="24"/>
          <w:szCs w:val="24"/>
        </w:rPr>
      </w:pPr>
      <w:r w:rsidRPr="00D0388A">
        <w:rPr>
          <w:rFonts w:ascii="Segoe UI" w:hAnsi="Segoe UI" w:cs="Segoe UI"/>
          <w:bCs/>
          <w:color w:val="365F91" w:themeColor="accent1" w:themeShade="BF"/>
          <w:sz w:val="24"/>
          <w:szCs w:val="24"/>
        </w:rPr>
        <w:t xml:space="preserve">In this way, the event is a </w:t>
      </w:r>
      <w:r w:rsidR="00795AED" w:rsidRPr="00D0388A">
        <w:rPr>
          <w:rFonts w:ascii="Segoe UI" w:hAnsi="Segoe UI" w:cs="Segoe UI"/>
          <w:bCs/>
          <w:color w:val="365F91" w:themeColor="accent1" w:themeShade="BF"/>
          <w:sz w:val="24"/>
          <w:szCs w:val="24"/>
        </w:rPr>
        <w:t>step-in</w:t>
      </w:r>
      <w:r w:rsidRPr="00D0388A">
        <w:rPr>
          <w:rFonts w:ascii="Segoe UI" w:hAnsi="Segoe UI" w:cs="Segoe UI"/>
          <w:bCs/>
          <w:color w:val="365F91" w:themeColor="accent1" w:themeShade="BF"/>
          <w:sz w:val="24"/>
          <w:szCs w:val="24"/>
        </w:rPr>
        <w:t xml:space="preserve"> order to provide a platform for strategic discussions and facilitating the transfer of expertise between partner states, communities, civil society, academia and the military to bring together collaborators through a consortium-based approach to work together to identify, test and promote real, effective and measurable resilience solutions, either tailored to each interested SEDM member states or in a general approach to the South-Eastern Europe region.</w:t>
      </w:r>
    </w:p>
    <w:p w14:paraId="3F87D25B" w14:textId="77777777" w:rsidR="001D2B8C" w:rsidRDefault="001D2B8C" w:rsidP="002871DB">
      <w:pPr>
        <w:ind w:firstLine="720"/>
        <w:jc w:val="both"/>
        <w:rPr>
          <w:rFonts w:ascii="Segoe UI" w:hAnsi="Segoe UI" w:cs="Segoe UI"/>
          <w:bCs/>
          <w:color w:val="365F91" w:themeColor="accent1" w:themeShade="BF"/>
          <w:sz w:val="24"/>
          <w:szCs w:val="24"/>
        </w:rPr>
      </w:pPr>
    </w:p>
    <w:p w14:paraId="6F63BFA0" w14:textId="2D7AE62D" w:rsidR="00A83F04" w:rsidRDefault="00A83F04" w:rsidP="001D2B8C">
      <w:pPr>
        <w:ind w:firstLine="720"/>
        <w:jc w:val="both"/>
        <w:rPr>
          <w:rFonts w:ascii="Segoe UI" w:hAnsi="Segoe UI" w:cs="Segoe UI"/>
          <w:bCs/>
          <w:color w:val="365F91" w:themeColor="accent1" w:themeShade="BF"/>
          <w:sz w:val="24"/>
          <w:szCs w:val="24"/>
        </w:rPr>
      </w:pPr>
      <w:r>
        <w:rPr>
          <w:rFonts w:ascii="Segoe UI" w:hAnsi="Segoe UI" w:cs="Segoe UI"/>
          <w:bCs/>
          <w:color w:val="365F91" w:themeColor="accent1" w:themeShade="BF"/>
          <w:sz w:val="24"/>
          <w:szCs w:val="24"/>
        </w:rPr>
        <w:lastRenderedPageBreak/>
        <w:t>Proposed Panels</w:t>
      </w:r>
    </w:p>
    <w:p w14:paraId="3A393B74" w14:textId="3FB7206D" w:rsidR="001D2B8C" w:rsidRPr="001D2B8C" w:rsidRDefault="001D2B8C" w:rsidP="001D2B8C">
      <w:pPr>
        <w:ind w:firstLine="720"/>
        <w:jc w:val="both"/>
        <w:rPr>
          <w:rFonts w:ascii="Segoe UI" w:hAnsi="Segoe UI" w:cs="Segoe UI"/>
          <w:bCs/>
          <w:color w:val="365F91" w:themeColor="accent1" w:themeShade="BF"/>
          <w:sz w:val="24"/>
          <w:szCs w:val="24"/>
        </w:rPr>
      </w:pPr>
      <w:r>
        <w:rPr>
          <w:rFonts w:ascii="Segoe UI" w:hAnsi="Segoe UI" w:cs="Segoe UI"/>
          <w:bCs/>
          <w:color w:val="365F91" w:themeColor="accent1" w:themeShade="BF"/>
          <w:sz w:val="24"/>
          <w:szCs w:val="24"/>
        </w:rPr>
        <w:t xml:space="preserve">Panel no. 1:  </w:t>
      </w:r>
      <w:r w:rsidRPr="001D2B8C">
        <w:rPr>
          <w:rFonts w:ascii="Segoe UI" w:hAnsi="Segoe UI" w:cs="Segoe UI"/>
          <w:b/>
          <w:color w:val="365F91" w:themeColor="accent1" w:themeShade="BF"/>
          <w:sz w:val="24"/>
          <w:szCs w:val="24"/>
        </w:rPr>
        <w:t>Cognitive security – a key factor in the resilience of societies in Southeast Europe</w:t>
      </w:r>
      <w:r>
        <w:rPr>
          <w:rFonts w:ascii="Segoe UI" w:hAnsi="Segoe UI" w:cs="Segoe UI"/>
          <w:bCs/>
          <w:color w:val="365F91" w:themeColor="accent1" w:themeShade="BF"/>
          <w:sz w:val="24"/>
          <w:szCs w:val="24"/>
        </w:rPr>
        <w:t xml:space="preserve">, panelist </w:t>
      </w:r>
      <w:r w:rsidRPr="001D2B8C">
        <w:rPr>
          <w:rFonts w:ascii="Segoe UI" w:hAnsi="Segoe UI" w:cs="Segoe UI"/>
          <w:bCs/>
          <w:color w:val="365F91" w:themeColor="accent1" w:themeShade="BF"/>
          <w:sz w:val="24"/>
          <w:szCs w:val="24"/>
        </w:rPr>
        <w:t>Ciprian PRIPOAIE, expert associate </w:t>
      </w:r>
    </w:p>
    <w:p w14:paraId="40AAAAD4" w14:textId="598F9C46" w:rsidR="001D2B8C" w:rsidRPr="001D2B8C" w:rsidRDefault="001D2B8C" w:rsidP="001D2B8C">
      <w:pPr>
        <w:ind w:firstLine="720"/>
        <w:jc w:val="both"/>
        <w:rPr>
          <w:rFonts w:ascii="Segoe UI" w:hAnsi="Segoe UI" w:cs="Segoe UI"/>
          <w:bCs/>
          <w:color w:val="365F91" w:themeColor="accent1" w:themeShade="BF"/>
          <w:sz w:val="24"/>
          <w:szCs w:val="24"/>
        </w:rPr>
      </w:pPr>
      <w:r>
        <w:rPr>
          <w:rFonts w:ascii="Segoe UI" w:hAnsi="Segoe UI" w:cs="Segoe UI"/>
          <w:bCs/>
          <w:color w:val="365F91" w:themeColor="accent1" w:themeShade="BF"/>
          <w:sz w:val="24"/>
          <w:szCs w:val="24"/>
        </w:rPr>
        <w:t xml:space="preserve">Panel no. 2: </w:t>
      </w:r>
      <w:r w:rsidRPr="001D2B8C">
        <w:rPr>
          <w:rFonts w:ascii="Segoe UI" w:hAnsi="Segoe UI" w:cs="Segoe UI"/>
          <w:b/>
          <w:color w:val="365F91" w:themeColor="accent1" w:themeShade="BF"/>
          <w:sz w:val="24"/>
          <w:szCs w:val="24"/>
        </w:rPr>
        <w:t>The role of extremism in undermining social cohesion and democratic stability in the region</w:t>
      </w:r>
      <w:r>
        <w:rPr>
          <w:rFonts w:ascii="Segoe UI" w:hAnsi="Segoe UI" w:cs="Segoe UI"/>
          <w:bCs/>
          <w:color w:val="365F91" w:themeColor="accent1" w:themeShade="BF"/>
          <w:sz w:val="24"/>
          <w:szCs w:val="24"/>
        </w:rPr>
        <w:t>, panelist</w:t>
      </w:r>
      <w:r w:rsidRPr="001D2B8C">
        <w:rPr>
          <w:rFonts w:ascii="Segoe UI" w:hAnsi="Segoe UI" w:cs="Segoe UI"/>
          <w:bCs/>
          <w:color w:val="365F91" w:themeColor="accent1" w:themeShade="BF"/>
          <w:sz w:val="24"/>
          <w:szCs w:val="24"/>
        </w:rPr>
        <w:t xml:space="preserve"> </w:t>
      </w:r>
      <w:proofErr w:type="spellStart"/>
      <w:r w:rsidRPr="001D2B8C">
        <w:rPr>
          <w:rFonts w:ascii="Segoe UI" w:hAnsi="Segoe UI" w:cs="Segoe UI"/>
          <w:bCs/>
          <w:color w:val="365F91" w:themeColor="accent1" w:themeShade="BF"/>
          <w:sz w:val="24"/>
          <w:szCs w:val="24"/>
        </w:rPr>
        <w:t>Dumitrița</w:t>
      </w:r>
      <w:proofErr w:type="spellEnd"/>
      <w:r w:rsidRPr="001D2B8C">
        <w:rPr>
          <w:rFonts w:ascii="Segoe UI" w:hAnsi="Segoe UI" w:cs="Segoe UI"/>
          <w:bCs/>
          <w:color w:val="365F91" w:themeColor="accent1" w:themeShade="BF"/>
          <w:sz w:val="24"/>
          <w:szCs w:val="24"/>
        </w:rPr>
        <w:t xml:space="preserve"> SOLOMON, expert associate </w:t>
      </w:r>
    </w:p>
    <w:p w14:paraId="6E68711D" w14:textId="51B3763D" w:rsidR="001D2B8C" w:rsidRPr="001D2B8C" w:rsidRDefault="001D2B8C" w:rsidP="001D2B8C">
      <w:pPr>
        <w:ind w:firstLine="720"/>
        <w:jc w:val="both"/>
        <w:rPr>
          <w:rFonts w:ascii="Segoe UI" w:hAnsi="Segoe UI" w:cs="Segoe UI"/>
          <w:bCs/>
          <w:color w:val="365F91" w:themeColor="accent1" w:themeShade="BF"/>
          <w:sz w:val="24"/>
          <w:szCs w:val="24"/>
        </w:rPr>
      </w:pPr>
      <w:r>
        <w:rPr>
          <w:rFonts w:ascii="Segoe UI" w:hAnsi="Segoe UI" w:cs="Segoe UI"/>
          <w:bCs/>
          <w:color w:val="365F91" w:themeColor="accent1" w:themeShade="BF"/>
          <w:sz w:val="24"/>
          <w:szCs w:val="24"/>
        </w:rPr>
        <w:t xml:space="preserve">Panel no. 3: </w:t>
      </w:r>
      <w:r w:rsidRPr="001D2B8C">
        <w:rPr>
          <w:rFonts w:ascii="Segoe UI" w:hAnsi="Segoe UI" w:cs="Segoe UI"/>
          <w:b/>
          <w:color w:val="365F91" w:themeColor="accent1" w:themeShade="BF"/>
          <w:sz w:val="24"/>
          <w:szCs w:val="24"/>
        </w:rPr>
        <w:t>Education: The Key to Combatting Malign Influence,</w:t>
      </w:r>
      <w:r>
        <w:rPr>
          <w:rFonts w:ascii="Segoe UI" w:hAnsi="Segoe UI" w:cs="Segoe UI"/>
          <w:bCs/>
          <w:color w:val="365F91" w:themeColor="accent1" w:themeShade="BF"/>
          <w:sz w:val="24"/>
          <w:szCs w:val="24"/>
        </w:rPr>
        <w:t xml:space="preserve"> panelist</w:t>
      </w:r>
      <w:r w:rsidRPr="001D2B8C">
        <w:rPr>
          <w:rFonts w:ascii="Segoe UI" w:hAnsi="Segoe UI" w:cs="Segoe UI"/>
          <w:bCs/>
          <w:color w:val="365F91" w:themeColor="accent1" w:themeShade="BF"/>
          <w:sz w:val="24"/>
          <w:szCs w:val="24"/>
        </w:rPr>
        <w:t xml:space="preserve"> David Carstens, expert associate</w:t>
      </w:r>
    </w:p>
    <w:p w14:paraId="349CDCFE" w14:textId="77777777" w:rsidR="001D2B8C" w:rsidRPr="00D0388A" w:rsidRDefault="001D2B8C" w:rsidP="002871DB">
      <w:pPr>
        <w:ind w:firstLine="720"/>
        <w:jc w:val="both"/>
        <w:rPr>
          <w:rFonts w:ascii="Segoe UI" w:hAnsi="Segoe UI" w:cs="Segoe UI"/>
          <w:bCs/>
          <w:color w:val="365F91" w:themeColor="accent1" w:themeShade="BF"/>
          <w:sz w:val="24"/>
          <w:szCs w:val="24"/>
        </w:rPr>
      </w:pPr>
    </w:p>
    <w:p w14:paraId="48365B61" w14:textId="77777777" w:rsidR="002871DB" w:rsidRPr="00D0388A" w:rsidRDefault="002871DB" w:rsidP="002871DB">
      <w:pPr>
        <w:ind w:firstLine="720"/>
        <w:jc w:val="both"/>
        <w:rPr>
          <w:rFonts w:ascii="Segoe UI" w:hAnsi="Segoe UI" w:cs="Segoe UI"/>
          <w:bCs/>
          <w:color w:val="365F91" w:themeColor="accent1" w:themeShade="BF"/>
          <w:sz w:val="24"/>
          <w:szCs w:val="24"/>
        </w:rPr>
      </w:pPr>
    </w:p>
    <w:sectPr w:rsidR="002871DB" w:rsidRPr="00D0388A" w:rsidSect="002128CE">
      <w:headerReference w:type="default" r:id="rId8"/>
      <w:footerReference w:type="default" r:id="rId9"/>
      <w:headerReference w:type="first" r:id="rId10"/>
      <w:footerReference w:type="first" r:id="rId11"/>
      <w:pgSz w:w="12240" w:h="15840"/>
      <w:pgMar w:top="1440" w:right="1080" w:bottom="1440" w:left="1080" w:header="720" w:footer="7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B2E92" w14:textId="77777777" w:rsidR="00802D2C" w:rsidRDefault="00802D2C" w:rsidP="00370FAA">
      <w:pPr>
        <w:spacing w:after="0" w:line="240" w:lineRule="auto"/>
      </w:pPr>
      <w:r>
        <w:separator/>
      </w:r>
    </w:p>
  </w:endnote>
  <w:endnote w:type="continuationSeparator" w:id="0">
    <w:p w14:paraId="4C5E6C1B" w14:textId="77777777" w:rsidR="00802D2C" w:rsidRDefault="00802D2C" w:rsidP="00370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603436"/>
      <w:docPartObj>
        <w:docPartGallery w:val="Page Numbers (Bottom of Page)"/>
        <w:docPartUnique/>
      </w:docPartObj>
    </w:sdtPr>
    <w:sdtContent>
      <w:sdt>
        <w:sdtPr>
          <w:rPr>
            <w:b/>
          </w:rPr>
          <w:id w:val="5566209"/>
          <w:docPartObj>
            <w:docPartGallery w:val="Page Numbers (Bottom of Page)"/>
            <w:docPartUnique/>
          </w:docPartObj>
        </w:sdtPr>
        <w:sdtContent>
          <w:sdt>
            <w:sdtPr>
              <w:rPr>
                <w:b/>
                <w:color w:val="7F7F7F" w:themeColor="text1" w:themeTint="80"/>
                <w:sz w:val="20"/>
              </w:rPr>
              <w:id w:val="5566230"/>
              <w:docPartObj>
                <w:docPartGallery w:val="Page Numbers (Bottom of Page)"/>
                <w:docPartUnique/>
              </w:docPartObj>
            </w:sdtPr>
            <w:sdtContent>
              <w:p w14:paraId="53A8CD18" w14:textId="7AEA05BA" w:rsidR="000B4E68" w:rsidRPr="0050103F" w:rsidRDefault="000B4E68" w:rsidP="000B4E68">
                <w:pPr>
                  <w:pStyle w:val="Footer"/>
                  <w:rPr>
                    <w:rFonts w:ascii="Segoe UI Light" w:hAnsi="Segoe UI Light" w:cs="Segoe UI Light"/>
                    <w:b/>
                    <w:color w:val="7F7F7F" w:themeColor="text1" w:themeTint="80"/>
                    <w:sz w:val="18"/>
                    <w:szCs w:val="20"/>
                  </w:rPr>
                </w:pPr>
                <w:r w:rsidRPr="0050103F">
                  <w:rPr>
                    <w:rFonts w:ascii="Segoe UI Light" w:hAnsi="Segoe UI Light" w:cs="Segoe UI Light"/>
                    <w:b/>
                    <w:color w:val="7F7F7F" w:themeColor="text1" w:themeTint="80"/>
                    <w:sz w:val="18"/>
                    <w:szCs w:val="20"/>
                  </w:rPr>
                  <w:t xml:space="preserve">Centrul Euro-Atlantic pentru </w:t>
                </w:r>
                <w:proofErr w:type="spellStart"/>
                <w:r w:rsidRPr="0050103F">
                  <w:rPr>
                    <w:rFonts w:ascii="Segoe UI Light" w:hAnsi="Segoe UI Light" w:cs="Segoe UI Light"/>
                    <w:b/>
                    <w:color w:val="7F7F7F" w:themeColor="text1" w:themeTint="80"/>
                    <w:sz w:val="18"/>
                    <w:szCs w:val="20"/>
                  </w:rPr>
                  <w:t>Reziliență</w:t>
                </w:r>
                <w:proofErr w:type="spellEnd"/>
              </w:p>
              <w:p w14:paraId="0DD10051" w14:textId="77777777" w:rsidR="000B4E68" w:rsidRPr="0050103F" w:rsidRDefault="000B4E68" w:rsidP="000B4E68">
                <w:pPr>
                  <w:pStyle w:val="Footer"/>
                  <w:rPr>
                    <w:rFonts w:ascii="Segoe UI Light" w:hAnsi="Segoe UI Light" w:cs="Segoe UI Light"/>
                    <w:color w:val="7F7F7F" w:themeColor="text1" w:themeTint="80"/>
                    <w:sz w:val="18"/>
                    <w:szCs w:val="20"/>
                  </w:rPr>
                </w:pPr>
                <w:r w:rsidRPr="0050103F">
                  <w:rPr>
                    <w:rFonts w:ascii="Segoe UI Light" w:hAnsi="Segoe UI Light" w:cs="Segoe UI Light"/>
                    <w:color w:val="7F7F7F" w:themeColor="text1" w:themeTint="80"/>
                    <w:sz w:val="18"/>
                    <w:szCs w:val="20"/>
                  </w:rPr>
                  <w:t xml:space="preserve">Str. Vasile </w:t>
                </w:r>
                <w:proofErr w:type="spellStart"/>
                <w:r w:rsidRPr="0050103F">
                  <w:rPr>
                    <w:rFonts w:ascii="Segoe UI Light" w:hAnsi="Segoe UI Light" w:cs="Segoe UI Light"/>
                    <w:color w:val="7F7F7F" w:themeColor="text1" w:themeTint="80"/>
                    <w:sz w:val="18"/>
                    <w:szCs w:val="20"/>
                  </w:rPr>
                  <w:t>Lascăr</w:t>
                </w:r>
                <w:proofErr w:type="spellEnd"/>
                <w:r w:rsidRPr="0050103F">
                  <w:rPr>
                    <w:rFonts w:ascii="Segoe UI Light" w:hAnsi="Segoe UI Light" w:cs="Segoe UI Light"/>
                    <w:color w:val="7F7F7F" w:themeColor="text1" w:themeTint="80"/>
                    <w:sz w:val="18"/>
                    <w:szCs w:val="20"/>
                  </w:rPr>
                  <w:t xml:space="preserve"> nr. 52, Sector 2, București</w:t>
                </w:r>
              </w:p>
              <w:p w14:paraId="2605DACD" w14:textId="7EEAAA2D" w:rsidR="000B4E68" w:rsidRPr="000B4E68" w:rsidRDefault="00220556" w:rsidP="000B4E68">
                <w:pPr>
                  <w:pStyle w:val="Footer"/>
                  <w:rPr>
                    <w:b/>
                    <w:color w:val="7F7F7F" w:themeColor="text1" w:themeTint="80"/>
                    <w:sz w:val="20"/>
                  </w:rPr>
                </w:pPr>
                <w:r>
                  <w:rPr>
                    <w:noProof/>
                    <w:sz w:val="20"/>
                    <w:lang w:eastAsia="zh-TW"/>
                  </w:rPr>
                  <mc:AlternateContent>
                    <mc:Choice Requires="wps">
                      <w:drawing>
                        <wp:anchor distT="0" distB="0" distL="114300" distR="114300" simplePos="0" relativeHeight="251669504" behindDoc="0" locked="0" layoutInCell="1" allowOverlap="1" wp14:anchorId="6ECF5D6D" wp14:editId="7B308CFF">
                          <wp:simplePos x="0" y="0"/>
                          <wp:positionH relativeFrom="rightMargin">
                            <wp:posOffset>-464185</wp:posOffset>
                          </wp:positionH>
                          <wp:positionV relativeFrom="bottomMargin">
                            <wp:posOffset>430530</wp:posOffset>
                          </wp:positionV>
                          <wp:extent cx="565785" cy="191770"/>
                          <wp:effectExtent l="0" t="0" r="0" b="177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1B1E8AC8" w14:textId="77777777" w:rsidR="006D0D28" w:rsidRPr="006D0D28" w:rsidRDefault="00033AAD">
                                      <w:pPr>
                                        <w:pBdr>
                                          <w:top w:val="single" w:sz="4" w:space="1" w:color="7F7F7F" w:themeColor="background1" w:themeShade="7F"/>
                                        </w:pBdr>
                                        <w:jc w:val="center"/>
                                        <w:rPr>
                                          <w:color w:val="365F91" w:themeColor="accent1" w:themeShade="BF"/>
                                        </w:rPr>
                                      </w:pPr>
                                      <w:r w:rsidRPr="006D0D28">
                                        <w:rPr>
                                          <w:color w:val="365F91" w:themeColor="accent1" w:themeShade="BF"/>
                                        </w:rPr>
                                        <w:fldChar w:fldCharType="begin"/>
                                      </w:r>
                                      <w:r w:rsidR="006D0D28" w:rsidRPr="006D0D28">
                                        <w:rPr>
                                          <w:color w:val="365F91" w:themeColor="accent1" w:themeShade="BF"/>
                                        </w:rPr>
                                        <w:instrText xml:space="preserve"> PAGE   \* MERGEFORMAT </w:instrText>
                                      </w:r>
                                      <w:r w:rsidRPr="006D0D28">
                                        <w:rPr>
                                          <w:color w:val="365F91" w:themeColor="accent1" w:themeShade="BF"/>
                                        </w:rPr>
                                        <w:fldChar w:fldCharType="separate"/>
                                      </w:r>
                                      <w:r w:rsidR="00983CD9">
                                        <w:rPr>
                                          <w:noProof/>
                                          <w:color w:val="365F91" w:themeColor="accent1" w:themeShade="BF"/>
                                        </w:rPr>
                                        <w:t>2</w:t>
                                      </w:r>
                                      <w:r w:rsidRPr="006D0D28">
                                        <w:rPr>
                                          <w:color w:val="365F91"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CF5D6D" id="Rectangle 2" o:spid="_x0000_s1026" style="position:absolute;margin-left:-36.55pt;margin-top:33.9pt;width:44.55pt;height:15.1pt;rotation:180;flip:x;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" filled="f" fillcolor="#c0504d [3205]" stroked="f" strokecolor="#4f81bd [3204]" strokeweight="2.25pt">
                          <v:textbox inset=",0,,0">
                            <w:txbxContent>
                              <w:p w14:paraId="1B1E8AC8" w14:textId="77777777" w:rsidR="006D0D28" w:rsidRPr="006D0D28" w:rsidRDefault="00033AAD">
                                <w:pPr>
                                  <w:pBdr>
                                    <w:top w:val="single" w:sz="4" w:space="1" w:color="7F7F7F" w:themeColor="background1" w:themeShade="7F"/>
                                  </w:pBdr>
                                  <w:jc w:val="center"/>
                                  <w:rPr>
                                    <w:color w:val="365F91" w:themeColor="accent1" w:themeShade="BF"/>
                                  </w:rPr>
                                </w:pPr>
                                <w:r w:rsidRPr="006D0D28">
                                  <w:rPr>
                                    <w:color w:val="365F91" w:themeColor="accent1" w:themeShade="BF"/>
                                  </w:rPr>
                                  <w:fldChar w:fldCharType="begin"/>
                                </w:r>
                                <w:r w:rsidR="006D0D28" w:rsidRPr="006D0D28">
                                  <w:rPr>
                                    <w:color w:val="365F91" w:themeColor="accent1" w:themeShade="BF"/>
                                  </w:rPr>
                                  <w:instrText xml:space="preserve"> PAGE   \* MERGEFORMAT </w:instrText>
                                </w:r>
                                <w:r w:rsidRPr="006D0D28">
                                  <w:rPr>
                                    <w:color w:val="365F91" w:themeColor="accent1" w:themeShade="BF"/>
                                  </w:rPr>
                                  <w:fldChar w:fldCharType="separate"/>
                                </w:r>
                                <w:r w:rsidR="00983CD9">
                                  <w:rPr>
                                    <w:noProof/>
                                    <w:color w:val="365F91" w:themeColor="accent1" w:themeShade="BF"/>
                                  </w:rPr>
                                  <w:t>2</w:t>
                                </w:r>
                                <w:r w:rsidRPr="006D0D28">
                                  <w:rPr>
                                    <w:color w:val="365F91" w:themeColor="accent1" w:themeShade="BF"/>
                                  </w:rPr>
                                  <w:fldChar w:fldCharType="end"/>
                                </w:r>
                              </w:p>
                            </w:txbxContent>
                          </v:textbox>
                          <w10:wrap anchorx="margin" anchory="margin"/>
                        </v:rect>
                      </w:pict>
                    </mc:Fallback>
                  </mc:AlternateContent>
                </w:r>
                <w:r w:rsidR="000B4E68" w:rsidRPr="0050103F">
                  <w:rPr>
                    <w:rFonts w:ascii="Segoe UI Light" w:hAnsi="Segoe UI Light" w:cs="Segoe UI Light"/>
                    <w:color w:val="7F7F7F" w:themeColor="text1" w:themeTint="80"/>
                    <w:sz w:val="18"/>
                    <w:szCs w:val="20"/>
                  </w:rPr>
                  <w:t>www.e-arc.ro | contact@e-arc.ro</w:t>
                </w:r>
              </w:p>
            </w:sdtContent>
          </w:sdt>
        </w:sdtContent>
      </w:sdt>
      <w:p w14:paraId="49A7A6DD" w14:textId="77777777" w:rsidR="006D0D28" w:rsidRDefault="00000000">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F7F7F" w:themeColor="text1" w:themeTint="80"/>
      </w:rPr>
      <w:id w:val="1270603437"/>
      <w:docPartObj>
        <w:docPartGallery w:val="Page Numbers (Bottom of Page)"/>
        <w:docPartUnique/>
      </w:docPartObj>
    </w:sdtPr>
    <w:sdtContent>
      <w:p w14:paraId="475D23FF" w14:textId="2C321D5C" w:rsidR="00BA00D5" w:rsidRPr="0050103F" w:rsidRDefault="00BA00D5">
        <w:pPr>
          <w:pStyle w:val="Footer"/>
          <w:rPr>
            <w:rFonts w:ascii="Segoe UI Light" w:hAnsi="Segoe UI Light" w:cs="Segoe UI Light"/>
            <w:b/>
            <w:color w:val="7F7F7F" w:themeColor="text1" w:themeTint="80"/>
            <w:szCs w:val="20"/>
          </w:rPr>
        </w:pPr>
        <w:r w:rsidRPr="0050103F">
          <w:rPr>
            <w:rFonts w:ascii="Segoe UI Light" w:hAnsi="Segoe UI Light" w:cs="Segoe UI Light"/>
            <w:b/>
            <w:color w:val="7F7F7F" w:themeColor="text1" w:themeTint="80"/>
            <w:szCs w:val="20"/>
          </w:rPr>
          <w:t xml:space="preserve">Centrul Euro-Atlantic pentru </w:t>
        </w:r>
        <w:proofErr w:type="spellStart"/>
        <w:r w:rsidRPr="0050103F">
          <w:rPr>
            <w:rFonts w:ascii="Segoe UI Light" w:hAnsi="Segoe UI Light" w:cs="Segoe UI Light"/>
            <w:b/>
            <w:color w:val="7F7F7F" w:themeColor="text1" w:themeTint="80"/>
            <w:szCs w:val="20"/>
          </w:rPr>
          <w:t>Reziliență</w:t>
        </w:r>
        <w:proofErr w:type="spellEnd"/>
      </w:p>
      <w:p w14:paraId="5B3ABCD6" w14:textId="77777777" w:rsidR="00BA00D5" w:rsidRPr="0050103F" w:rsidRDefault="00BA00D5" w:rsidP="00BA00D5">
        <w:pPr>
          <w:pStyle w:val="Footer"/>
          <w:rPr>
            <w:rFonts w:ascii="Segoe UI Light" w:hAnsi="Segoe UI Light" w:cs="Segoe UI Light"/>
            <w:color w:val="7F7F7F" w:themeColor="text1" w:themeTint="80"/>
            <w:szCs w:val="20"/>
          </w:rPr>
        </w:pPr>
        <w:r w:rsidRPr="0050103F">
          <w:rPr>
            <w:rFonts w:ascii="Segoe UI Light" w:hAnsi="Segoe UI Light" w:cs="Segoe UI Light"/>
            <w:color w:val="7F7F7F" w:themeColor="text1" w:themeTint="80"/>
            <w:szCs w:val="20"/>
          </w:rPr>
          <w:t xml:space="preserve">Str. Vasile </w:t>
        </w:r>
        <w:proofErr w:type="spellStart"/>
        <w:r w:rsidRPr="0050103F">
          <w:rPr>
            <w:rFonts w:ascii="Segoe UI Light" w:hAnsi="Segoe UI Light" w:cs="Segoe UI Light"/>
            <w:color w:val="7F7F7F" w:themeColor="text1" w:themeTint="80"/>
            <w:szCs w:val="20"/>
          </w:rPr>
          <w:t>Lascăr</w:t>
        </w:r>
        <w:proofErr w:type="spellEnd"/>
        <w:r w:rsidRPr="0050103F">
          <w:rPr>
            <w:rFonts w:ascii="Segoe UI Light" w:hAnsi="Segoe UI Light" w:cs="Segoe UI Light"/>
            <w:color w:val="7F7F7F" w:themeColor="text1" w:themeTint="80"/>
            <w:szCs w:val="20"/>
          </w:rPr>
          <w:t xml:space="preserve"> nr. 52, Sector 2, București</w:t>
        </w:r>
      </w:p>
      <w:p w14:paraId="776B375A" w14:textId="199D2239" w:rsidR="00370FAA" w:rsidRPr="0050103F" w:rsidRDefault="00220556" w:rsidP="00BA00D5">
        <w:pPr>
          <w:pStyle w:val="Footer"/>
          <w:rPr>
            <w:b/>
            <w:color w:val="7F7F7F" w:themeColor="text1" w:themeTint="80"/>
          </w:rPr>
        </w:pPr>
        <w:r>
          <w:rPr>
            <w:rFonts w:ascii="Segoe UI Light" w:hAnsi="Segoe UI Light" w:cs="Segoe UI Light"/>
            <w:b/>
            <w:noProof/>
            <w:color w:val="7F7F7F" w:themeColor="text1" w:themeTint="80"/>
            <w:szCs w:val="20"/>
            <w:lang w:eastAsia="zh-TW"/>
          </w:rPr>
          <mc:AlternateContent>
            <mc:Choice Requires="wps">
              <w:drawing>
                <wp:anchor distT="0" distB="0" distL="114300" distR="114300" simplePos="0" relativeHeight="251667456" behindDoc="0" locked="0" layoutInCell="1" allowOverlap="1" wp14:anchorId="3462A1D1" wp14:editId="671BB2C9">
                  <wp:simplePos x="0" y="0"/>
                  <wp:positionH relativeFrom="rightMargin">
                    <wp:posOffset>-451485</wp:posOffset>
                  </wp:positionH>
                  <wp:positionV relativeFrom="bottomMargin">
                    <wp:posOffset>589280</wp:posOffset>
                  </wp:positionV>
                  <wp:extent cx="565785" cy="191770"/>
                  <wp:effectExtent l="0" t="0" r="0" b="177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1D91CD88" w14:textId="77777777" w:rsidR="006D0D28" w:rsidRPr="006D0D28" w:rsidRDefault="00033AAD">
                              <w:pPr>
                                <w:pBdr>
                                  <w:top w:val="single" w:sz="4" w:space="1" w:color="7F7F7F" w:themeColor="background1" w:themeShade="7F"/>
                                </w:pBdr>
                                <w:jc w:val="center"/>
                                <w:rPr>
                                  <w:color w:val="365F91" w:themeColor="accent1" w:themeShade="BF"/>
                                </w:rPr>
                              </w:pPr>
                              <w:r w:rsidRPr="006D0D28">
                                <w:rPr>
                                  <w:color w:val="365F91" w:themeColor="accent1" w:themeShade="BF"/>
                                </w:rPr>
                                <w:fldChar w:fldCharType="begin"/>
                              </w:r>
                              <w:r w:rsidR="006D0D28" w:rsidRPr="006D0D28">
                                <w:rPr>
                                  <w:color w:val="365F91" w:themeColor="accent1" w:themeShade="BF"/>
                                </w:rPr>
                                <w:instrText xml:space="preserve"> PAGE   \* MERGEFORMAT </w:instrText>
                              </w:r>
                              <w:r w:rsidRPr="006D0D28">
                                <w:rPr>
                                  <w:color w:val="365F91" w:themeColor="accent1" w:themeShade="BF"/>
                                </w:rPr>
                                <w:fldChar w:fldCharType="separate"/>
                              </w:r>
                              <w:r w:rsidR="00983CD9">
                                <w:rPr>
                                  <w:noProof/>
                                  <w:color w:val="365F91" w:themeColor="accent1" w:themeShade="BF"/>
                                </w:rPr>
                                <w:t>1</w:t>
                              </w:r>
                              <w:r w:rsidRPr="006D0D28">
                                <w:rPr>
                                  <w:color w:val="365F91"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62A1D1" id="Rectangle 1" o:spid="_x0000_s1027" style="position:absolute;margin-left:-35.55pt;margin-top:46.4pt;width:44.55pt;height:15.1pt;rotation:180;flip:x;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" filled="f" fillcolor="#c0504d [3205]" stroked="f" strokecolor="#4f81bd [3204]" strokeweight="2.25pt">
                  <v:textbox inset=",0,,0">
                    <w:txbxContent>
                      <w:p w14:paraId="1D91CD88" w14:textId="77777777" w:rsidR="006D0D28" w:rsidRPr="006D0D28" w:rsidRDefault="00033AAD">
                        <w:pPr>
                          <w:pBdr>
                            <w:top w:val="single" w:sz="4" w:space="1" w:color="7F7F7F" w:themeColor="background1" w:themeShade="7F"/>
                          </w:pBdr>
                          <w:jc w:val="center"/>
                          <w:rPr>
                            <w:color w:val="365F91" w:themeColor="accent1" w:themeShade="BF"/>
                          </w:rPr>
                        </w:pPr>
                        <w:r w:rsidRPr="006D0D28">
                          <w:rPr>
                            <w:color w:val="365F91" w:themeColor="accent1" w:themeShade="BF"/>
                          </w:rPr>
                          <w:fldChar w:fldCharType="begin"/>
                        </w:r>
                        <w:r w:rsidR="006D0D28" w:rsidRPr="006D0D28">
                          <w:rPr>
                            <w:color w:val="365F91" w:themeColor="accent1" w:themeShade="BF"/>
                          </w:rPr>
                          <w:instrText xml:space="preserve"> PAGE   \* MERGEFORMAT </w:instrText>
                        </w:r>
                        <w:r w:rsidRPr="006D0D28">
                          <w:rPr>
                            <w:color w:val="365F91" w:themeColor="accent1" w:themeShade="BF"/>
                          </w:rPr>
                          <w:fldChar w:fldCharType="separate"/>
                        </w:r>
                        <w:r w:rsidR="00983CD9">
                          <w:rPr>
                            <w:noProof/>
                            <w:color w:val="365F91" w:themeColor="accent1" w:themeShade="BF"/>
                          </w:rPr>
                          <w:t>1</w:t>
                        </w:r>
                        <w:r w:rsidRPr="006D0D28">
                          <w:rPr>
                            <w:color w:val="365F91" w:themeColor="accent1" w:themeShade="BF"/>
                          </w:rPr>
                          <w:fldChar w:fldCharType="end"/>
                        </w:r>
                      </w:p>
                    </w:txbxContent>
                  </v:textbox>
                  <w10:wrap anchorx="margin" anchory="margin"/>
                </v:rect>
              </w:pict>
            </mc:Fallback>
          </mc:AlternateContent>
        </w:r>
        <w:r w:rsidR="00BA00D5" w:rsidRPr="0050103F">
          <w:rPr>
            <w:rFonts w:ascii="Segoe UI Light" w:hAnsi="Segoe UI Light" w:cs="Segoe UI Light"/>
            <w:color w:val="7F7F7F" w:themeColor="text1" w:themeTint="80"/>
            <w:szCs w:val="20"/>
          </w:rPr>
          <w:t>www.e-arc.ro | contact@e-arc.ro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0FB3" w14:textId="77777777" w:rsidR="00802D2C" w:rsidRDefault="00802D2C" w:rsidP="00370FAA">
      <w:pPr>
        <w:spacing w:after="0" w:line="240" w:lineRule="auto"/>
      </w:pPr>
      <w:r>
        <w:separator/>
      </w:r>
    </w:p>
  </w:footnote>
  <w:footnote w:type="continuationSeparator" w:id="0">
    <w:p w14:paraId="63090135" w14:textId="77777777" w:rsidR="00802D2C" w:rsidRDefault="00802D2C" w:rsidP="00370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B523" w14:textId="5941A88F" w:rsidR="000B4E68" w:rsidRDefault="00DB3F51" w:rsidP="000B4E68">
    <w:pPr>
      <w:pStyle w:val="Footer"/>
      <w:jc w:val="center"/>
      <w:rPr>
        <w:b/>
      </w:rPr>
    </w:pPr>
    <w:r>
      <w:rPr>
        <w:noProof/>
      </w:rPr>
      <w:drawing>
        <wp:anchor distT="0" distB="0" distL="114300" distR="114300" simplePos="0" relativeHeight="251675648" behindDoc="1" locked="0" layoutInCell="1" allowOverlap="1" wp14:anchorId="309EA8C6" wp14:editId="7EAE2FEC">
          <wp:simplePos x="0" y="0"/>
          <wp:positionH relativeFrom="column">
            <wp:posOffset>-539750</wp:posOffset>
          </wp:positionH>
          <wp:positionV relativeFrom="paragraph">
            <wp:posOffset>-292100</wp:posOffset>
          </wp:positionV>
          <wp:extent cx="755650" cy="755650"/>
          <wp:effectExtent l="0" t="0" r="6350" b="0"/>
          <wp:wrapTight wrapText="bothSides">
            <wp:wrapPolygon edited="0">
              <wp:start x="9257" y="545"/>
              <wp:lineTo x="545" y="10346"/>
              <wp:lineTo x="9257" y="20692"/>
              <wp:lineTo x="12524" y="20692"/>
              <wp:lineTo x="21237" y="10346"/>
              <wp:lineTo x="12524" y="545"/>
              <wp:lineTo x="9257" y="54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4B1FE" w14:textId="6C7ED86C" w:rsidR="000B4E68" w:rsidRDefault="000B4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30A8" w14:textId="77777777" w:rsidR="00370FAA" w:rsidRDefault="00421C15">
    <w:pPr>
      <w:pStyle w:val="Header"/>
    </w:pPr>
    <w:r>
      <w:rPr>
        <w:noProof/>
      </w:rPr>
      <w:drawing>
        <wp:inline distT="0" distB="0" distL="0" distR="0" wp14:anchorId="4A99F3D7" wp14:editId="0F2C5FC4">
          <wp:extent cx="2359795" cy="1012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063" cy="10157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C1D"/>
    <w:multiLevelType w:val="hybridMultilevel"/>
    <w:tmpl w:val="38B03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960C9"/>
    <w:multiLevelType w:val="hybridMultilevel"/>
    <w:tmpl w:val="A6CA1AD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C4F32AD"/>
    <w:multiLevelType w:val="hybridMultilevel"/>
    <w:tmpl w:val="6DA613E2"/>
    <w:lvl w:ilvl="0" w:tplc="A3D00678">
      <w:numFmt w:val="bullet"/>
      <w:lvlText w:val="-"/>
      <w:lvlJc w:val="left"/>
      <w:pPr>
        <w:ind w:left="720" w:hanging="360"/>
      </w:pPr>
      <w:rPr>
        <w:rFonts w:ascii="Segoe UI" w:eastAsiaTheme="minorHAnsi" w:hAnsi="Segoe UI" w:cs="Segoe U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50430A7"/>
    <w:multiLevelType w:val="hybridMultilevel"/>
    <w:tmpl w:val="1E4E0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DE737C"/>
    <w:multiLevelType w:val="hybridMultilevel"/>
    <w:tmpl w:val="39B2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F5926"/>
    <w:multiLevelType w:val="hybridMultilevel"/>
    <w:tmpl w:val="DA660648"/>
    <w:lvl w:ilvl="0" w:tplc="725830D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C127E"/>
    <w:multiLevelType w:val="hybridMultilevel"/>
    <w:tmpl w:val="2076B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2C5349"/>
    <w:multiLevelType w:val="hybridMultilevel"/>
    <w:tmpl w:val="B96848B8"/>
    <w:lvl w:ilvl="0" w:tplc="D99859F6">
      <w:numFmt w:val="bullet"/>
      <w:lvlText w:val="-"/>
      <w:lvlJc w:val="left"/>
      <w:pPr>
        <w:ind w:left="720" w:hanging="360"/>
      </w:pPr>
      <w:rPr>
        <w:rFonts w:ascii="Segoe UI Semilight" w:eastAsiaTheme="minorHAnsi" w:hAnsi="Segoe UI Semilight" w:cs="Segoe UI Semi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364094"/>
    <w:multiLevelType w:val="hybridMultilevel"/>
    <w:tmpl w:val="36CA2CEE"/>
    <w:lvl w:ilvl="0" w:tplc="25020F1E">
      <w:start w:val="3"/>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4FD26AE8"/>
    <w:multiLevelType w:val="hybridMultilevel"/>
    <w:tmpl w:val="5C602C8C"/>
    <w:lvl w:ilvl="0" w:tplc="37063D26">
      <w:numFmt w:val="bullet"/>
      <w:lvlText w:val="-"/>
      <w:lvlJc w:val="left"/>
      <w:pPr>
        <w:ind w:left="1080" w:hanging="720"/>
      </w:pPr>
      <w:rPr>
        <w:rFonts w:ascii="Segoe UI" w:eastAsiaTheme="minorHAns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440076"/>
    <w:multiLevelType w:val="hybridMultilevel"/>
    <w:tmpl w:val="84F41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957740"/>
    <w:multiLevelType w:val="multilevel"/>
    <w:tmpl w:val="3F0C02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7946952">
    <w:abstractNumId w:val="0"/>
  </w:num>
  <w:num w:numId="2" w16cid:durableId="1597639857">
    <w:abstractNumId w:val="4"/>
  </w:num>
  <w:num w:numId="3" w16cid:durableId="3091040">
    <w:abstractNumId w:val="8"/>
  </w:num>
  <w:num w:numId="4" w16cid:durableId="1673756366">
    <w:abstractNumId w:val="5"/>
  </w:num>
  <w:num w:numId="5" w16cid:durableId="286932651">
    <w:abstractNumId w:val="11"/>
  </w:num>
  <w:num w:numId="6" w16cid:durableId="639306817">
    <w:abstractNumId w:val="1"/>
  </w:num>
  <w:num w:numId="7" w16cid:durableId="612907505">
    <w:abstractNumId w:val="7"/>
  </w:num>
  <w:num w:numId="8" w16cid:durableId="756367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3376290">
    <w:abstractNumId w:val="9"/>
  </w:num>
  <w:num w:numId="10" w16cid:durableId="16216440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8280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3424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AA"/>
    <w:rsid w:val="00006D9E"/>
    <w:rsid w:val="0000715A"/>
    <w:rsid w:val="00007EFF"/>
    <w:rsid w:val="00014CE0"/>
    <w:rsid w:val="00014D5E"/>
    <w:rsid w:val="000303B4"/>
    <w:rsid w:val="00031744"/>
    <w:rsid w:val="00033AAD"/>
    <w:rsid w:val="000340C7"/>
    <w:rsid w:val="00047714"/>
    <w:rsid w:val="00054CA1"/>
    <w:rsid w:val="000761E4"/>
    <w:rsid w:val="00086BC6"/>
    <w:rsid w:val="000B4E68"/>
    <w:rsid w:val="000C2DC0"/>
    <w:rsid w:val="000D40D6"/>
    <w:rsid w:val="000E363F"/>
    <w:rsid w:val="00100B48"/>
    <w:rsid w:val="00107ADD"/>
    <w:rsid w:val="00114C64"/>
    <w:rsid w:val="00120B04"/>
    <w:rsid w:val="00121108"/>
    <w:rsid w:val="0013116D"/>
    <w:rsid w:val="001407F1"/>
    <w:rsid w:val="001429AA"/>
    <w:rsid w:val="001547B3"/>
    <w:rsid w:val="001642DC"/>
    <w:rsid w:val="00171367"/>
    <w:rsid w:val="00186307"/>
    <w:rsid w:val="00192AEC"/>
    <w:rsid w:val="001C4491"/>
    <w:rsid w:val="001D2B8C"/>
    <w:rsid w:val="001D3272"/>
    <w:rsid w:val="001E21E3"/>
    <w:rsid w:val="001E424D"/>
    <w:rsid w:val="001F4BD3"/>
    <w:rsid w:val="002128CE"/>
    <w:rsid w:val="00220556"/>
    <w:rsid w:val="00244312"/>
    <w:rsid w:val="00246951"/>
    <w:rsid w:val="0027377A"/>
    <w:rsid w:val="00275336"/>
    <w:rsid w:val="00275932"/>
    <w:rsid w:val="002810AD"/>
    <w:rsid w:val="002831C9"/>
    <w:rsid w:val="002871DB"/>
    <w:rsid w:val="002A394F"/>
    <w:rsid w:val="002C70C1"/>
    <w:rsid w:val="002D0747"/>
    <w:rsid w:val="002E58B9"/>
    <w:rsid w:val="0030677E"/>
    <w:rsid w:val="00311633"/>
    <w:rsid w:val="00311801"/>
    <w:rsid w:val="00314FE1"/>
    <w:rsid w:val="00335C26"/>
    <w:rsid w:val="003425F2"/>
    <w:rsid w:val="0034596F"/>
    <w:rsid w:val="00353D83"/>
    <w:rsid w:val="003559B1"/>
    <w:rsid w:val="00370FAA"/>
    <w:rsid w:val="00382344"/>
    <w:rsid w:val="00384D6C"/>
    <w:rsid w:val="00387902"/>
    <w:rsid w:val="00397AB5"/>
    <w:rsid w:val="003A05E3"/>
    <w:rsid w:val="003A3485"/>
    <w:rsid w:val="003B25FD"/>
    <w:rsid w:val="003B489E"/>
    <w:rsid w:val="003B7070"/>
    <w:rsid w:val="003E6632"/>
    <w:rsid w:val="003E69CC"/>
    <w:rsid w:val="003F3E85"/>
    <w:rsid w:val="003F79F8"/>
    <w:rsid w:val="00421C15"/>
    <w:rsid w:val="00436282"/>
    <w:rsid w:val="00447464"/>
    <w:rsid w:val="00447939"/>
    <w:rsid w:val="0045665A"/>
    <w:rsid w:val="004607A4"/>
    <w:rsid w:val="0048299F"/>
    <w:rsid w:val="00482C4C"/>
    <w:rsid w:val="00482DF9"/>
    <w:rsid w:val="00483ECD"/>
    <w:rsid w:val="004878E7"/>
    <w:rsid w:val="004A2AF4"/>
    <w:rsid w:val="004A6137"/>
    <w:rsid w:val="004C3881"/>
    <w:rsid w:val="004C556C"/>
    <w:rsid w:val="004C74F9"/>
    <w:rsid w:val="004D62EC"/>
    <w:rsid w:val="004F07AE"/>
    <w:rsid w:val="004F1A8D"/>
    <w:rsid w:val="004F44A0"/>
    <w:rsid w:val="004F7D9B"/>
    <w:rsid w:val="0050103F"/>
    <w:rsid w:val="00506C37"/>
    <w:rsid w:val="0051251A"/>
    <w:rsid w:val="00512737"/>
    <w:rsid w:val="00526C19"/>
    <w:rsid w:val="00532530"/>
    <w:rsid w:val="005341AB"/>
    <w:rsid w:val="00545E5E"/>
    <w:rsid w:val="005531CE"/>
    <w:rsid w:val="00586CC1"/>
    <w:rsid w:val="00592E4E"/>
    <w:rsid w:val="005C7F62"/>
    <w:rsid w:val="005D3276"/>
    <w:rsid w:val="005D4A77"/>
    <w:rsid w:val="005D7228"/>
    <w:rsid w:val="005E18EF"/>
    <w:rsid w:val="005E349C"/>
    <w:rsid w:val="00600B56"/>
    <w:rsid w:val="00604AF7"/>
    <w:rsid w:val="00611612"/>
    <w:rsid w:val="00617A8D"/>
    <w:rsid w:val="00627C32"/>
    <w:rsid w:val="00647F99"/>
    <w:rsid w:val="00667C16"/>
    <w:rsid w:val="00683887"/>
    <w:rsid w:val="006B4193"/>
    <w:rsid w:val="006C5C5E"/>
    <w:rsid w:val="006D0D28"/>
    <w:rsid w:val="006D2EBF"/>
    <w:rsid w:val="006E604F"/>
    <w:rsid w:val="00711554"/>
    <w:rsid w:val="00721D76"/>
    <w:rsid w:val="00741272"/>
    <w:rsid w:val="00742DDD"/>
    <w:rsid w:val="007453C9"/>
    <w:rsid w:val="007554BA"/>
    <w:rsid w:val="00763EAD"/>
    <w:rsid w:val="00776DCE"/>
    <w:rsid w:val="00791C71"/>
    <w:rsid w:val="00795AED"/>
    <w:rsid w:val="007A0A5D"/>
    <w:rsid w:val="007A1C29"/>
    <w:rsid w:val="007C6B0A"/>
    <w:rsid w:val="007E10FC"/>
    <w:rsid w:val="007E3B7B"/>
    <w:rsid w:val="007F5913"/>
    <w:rsid w:val="00802D2C"/>
    <w:rsid w:val="00850E5E"/>
    <w:rsid w:val="00867D21"/>
    <w:rsid w:val="0087128B"/>
    <w:rsid w:val="008766D4"/>
    <w:rsid w:val="00880089"/>
    <w:rsid w:val="00893125"/>
    <w:rsid w:val="00896CE6"/>
    <w:rsid w:val="008A30B2"/>
    <w:rsid w:val="008C10DA"/>
    <w:rsid w:val="008D375E"/>
    <w:rsid w:val="008F31B3"/>
    <w:rsid w:val="008F7514"/>
    <w:rsid w:val="009016DD"/>
    <w:rsid w:val="0091288E"/>
    <w:rsid w:val="00913DCD"/>
    <w:rsid w:val="00916D7F"/>
    <w:rsid w:val="00927095"/>
    <w:rsid w:val="0093548B"/>
    <w:rsid w:val="009549EE"/>
    <w:rsid w:val="009576E7"/>
    <w:rsid w:val="00973533"/>
    <w:rsid w:val="00982E97"/>
    <w:rsid w:val="00983CD9"/>
    <w:rsid w:val="00986B4D"/>
    <w:rsid w:val="009A08B2"/>
    <w:rsid w:val="009A225E"/>
    <w:rsid w:val="009A2DDC"/>
    <w:rsid w:val="009A5467"/>
    <w:rsid w:val="009A5EE0"/>
    <w:rsid w:val="009A7756"/>
    <w:rsid w:val="009B1AB4"/>
    <w:rsid w:val="009B366A"/>
    <w:rsid w:val="009C1A73"/>
    <w:rsid w:val="009D4CB4"/>
    <w:rsid w:val="009F6CC0"/>
    <w:rsid w:val="009F70DE"/>
    <w:rsid w:val="00A02906"/>
    <w:rsid w:val="00A14561"/>
    <w:rsid w:val="00A21B88"/>
    <w:rsid w:val="00A30C3A"/>
    <w:rsid w:val="00A651C4"/>
    <w:rsid w:val="00A7717F"/>
    <w:rsid w:val="00A83F04"/>
    <w:rsid w:val="00AA17C1"/>
    <w:rsid w:val="00AA6A3C"/>
    <w:rsid w:val="00AA791B"/>
    <w:rsid w:val="00AA7B63"/>
    <w:rsid w:val="00AB5ACB"/>
    <w:rsid w:val="00B002DA"/>
    <w:rsid w:val="00B117E7"/>
    <w:rsid w:val="00B25290"/>
    <w:rsid w:val="00B4109D"/>
    <w:rsid w:val="00B45FF9"/>
    <w:rsid w:val="00B52E9D"/>
    <w:rsid w:val="00B62DBF"/>
    <w:rsid w:val="00B66158"/>
    <w:rsid w:val="00B75FE1"/>
    <w:rsid w:val="00B87E2E"/>
    <w:rsid w:val="00BA00D5"/>
    <w:rsid w:val="00BA422F"/>
    <w:rsid w:val="00BB2C1F"/>
    <w:rsid w:val="00BC05D1"/>
    <w:rsid w:val="00BE0BA6"/>
    <w:rsid w:val="00BF1E97"/>
    <w:rsid w:val="00BF5EE1"/>
    <w:rsid w:val="00BF659A"/>
    <w:rsid w:val="00C264D1"/>
    <w:rsid w:val="00C27C96"/>
    <w:rsid w:val="00C477F4"/>
    <w:rsid w:val="00C61616"/>
    <w:rsid w:val="00C77E64"/>
    <w:rsid w:val="00C80722"/>
    <w:rsid w:val="00C97F96"/>
    <w:rsid w:val="00CD6C8C"/>
    <w:rsid w:val="00CE358B"/>
    <w:rsid w:val="00CE6A2E"/>
    <w:rsid w:val="00CF18E7"/>
    <w:rsid w:val="00D0388A"/>
    <w:rsid w:val="00D20043"/>
    <w:rsid w:val="00D30057"/>
    <w:rsid w:val="00D45CE8"/>
    <w:rsid w:val="00D4752E"/>
    <w:rsid w:val="00D50FF6"/>
    <w:rsid w:val="00D537B3"/>
    <w:rsid w:val="00D656E1"/>
    <w:rsid w:val="00D66F9F"/>
    <w:rsid w:val="00D86C32"/>
    <w:rsid w:val="00DA55E1"/>
    <w:rsid w:val="00DB3F51"/>
    <w:rsid w:val="00DC6B0A"/>
    <w:rsid w:val="00DE0148"/>
    <w:rsid w:val="00DF1782"/>
    <w:rsid w:val="00E05932"/>
    <w:rsid w:val="00E200AB"/>
    <w:rsid w:val="00E36C72"/>
    <w:rsid w:val="00E41509"/>
    <w:rsid w:val="00E61C5A"/>
    <w:rsid w:val="00E76C2A"/>
    <w:rsid w:val="00E77BB6"/>
    <w:rsid w:val="00EB1657"/>
    <w:rsid w:val="00EC1562"/>
    <w:rsid w:val="00F457CC"/>
    <w:rsid w:val="00F64A96"/>
    <w:rsid w:val="00F73816"/>
    <w:rsid w:val="00F73A40"/>
    <w:rsid w:val="00F84E1E"/>
    <w:rsid w:val="00F90EFF"/>
    <w:rsid w:val="00FC064C"/>
    <w:rsid w:val="00FC4CDA"/>
    <w:rsid w:val="00FD5B00"/>
    <w:rsid w:val="00FD6531"/>
    <w:rsid w:val="00FE1B94"/>
    <w:rsid w:val="00FE1E12"/>
    <w:rsid w:val="00FE4798"/>
    <w:rsid w:val="00FE7293"/>
    <w:rsid w:val="00FF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9724F"/>
  <w15:docId w15:val="{9D084745-85CB-43FF-A6FE-C1B67614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FAA"/>
  </w:style>
  <w:style w:type="paragraph" w:styleId="Footer">
    <w:name w:val="footer"/>
    <w:basedOn w:val="Normal"/>
    <w:link w:val="FooterChar"/>
    <w:uiPriority w:val="99"/>
    <w:unhideWhenUsed/>
    <w:rsid w:val="00370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FAA"/>
  </w:style>
  <w:style w:type="paragraph" w:styleId="BalloonText">
    <w:name w:val="Balloon Text"/>
    <w:basedOn w:val="Normal"/>
    <w:link w:val="BalloonTextChar"/>
    <w:uiPriority w:val="99"/>
    <w:semiHidden/>
    <w:unhideWhenUsed/>
    <w:rsid w:val="00370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FAA"/>
    <w:rPr>
      <w:rFonts w:ascii="Tahoma" w:hAnsi="Tahoma" w:cs="Tahoma"/>
      <w:sz w:val="16"/>
      <w:szCs w:val="16"/>
    </w:rPr>
  </w:style>
  <w:style w:type="paragraph" w:styleId="ListParagraph">
    <w:name w:val="List Paragraph"/>
    <w:basedOn w:val="Normal"/>
    <w:uiPriority w:val="34"/>
    <w:qFormat/>
    <w:rsid w:val="00A651C4"/>
    <w:pPr>
      <w:spacing w:after="160" w:line="259" w:lineRule="auto"/>
      <w:ind w:left="720"/>
      <w:contextualSpacing/>
    </w:pPr>
  </w:style>
  <w:style w:type="table" w:styleId="TableGrid">
    <w:name w:val="Table Grid"/>
    <w:basedOn w:val="TableNormal"/>
    <w:uiPriority w:val="59"/>
    <w:rsid w:val="00A65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B0A"/>
    <w:rPr>
      <w:color w:val="0000FF"/>
      <w:u w:val="single"/>
    </w:rPr>
  </w:style>
  <w:style w:type="character" w:styleId="UnresolvedMention">
    <w:name w:val="Unresolved Mention"/>
    <w:basedOn w:val="DefaultParagraphFont"/>
    <w:uiPriority w:val="99"/>
    <w:semiHidden/>
    <w:unhideWhenUsed/>
    <w:rsid w:val="007C6B0A"/>
    <w:rPr>
      <w:color w:val="605E5C"/>
      <w:shd w:val="clear" w:color="auto" w:fill="E1DFDD"/>
    </w:rPr>
  </w:style>
  <w:style w:type="paragraph" w:styleId="FootnoteText">
    <w:name w:val="footnote text"/>
    <w:basedOn w:val="Normal"/>
    <w:link w:val="FootnoteTextChar"/>
    <w:uiPriority w:val="99"/>
    <w:semiHidden/>
    <w:unhideWhenUsed/>
    <w:rsid w:val="005D32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276"/>
    <w:rPr>
      <w:sz w:val="20"/>
      <w:szCs w:val="20"/>
    </w:rPr>
  </w:style>
  <w:style w:type="character" w:styleId="FootnoteReference">
    <w:name w:val="footnote reference"/>
    <w:basedOn w:val="DefaultParagraphFont"/>
    <w:uiPriority w:val="99"/>
    <w:semiHidden/>
    <w:unhideWhenUsed/>
    <w:rsid w:val="005D3276"/>
    <w:rPr>
      <w:vertAlign w:val="superscript"/>
    </w:rPr>
  </w:style>
  <w:style w:type="character" w:styleId="FollowedHyperlink">
    <w:name w:val="FollowedHyperlink"/>
    <w:basedOn w:val="DefaultParagraphFont"/>
    <w:uiPriority w:val="99"/>
    <w:semiHidden/>
    <w:unhideWhenUsed/>
    <w:rsid w:val="00D30057"/>
    <w:rPr>
      <w:color w:val="800080" w:themeColor="followedHyperlink"/>
      <w:u w:val="single"/>
    </w:rPr>
  </w:style>
  <w:style w:type="character" w:styleId="CommentReference">
    <w:name w:val="annotation reference"/>
    <w:basedOn w:val="DefaultParagraphFont"/>
    <w:uiPriority w:val="99"/>
    <w:semiHidden/>
    <w:unhideWhenUsed/>
    <w:rsid w:val="009A08B2"/>
    <w:rPr>
      <w:sz w:val="16"/>
      <w:szCs w:val="16"/>
    </w:rPr>
  </w:style>
  <w:style w:type="paragraph" w:styleId="CommentText">
    <w:name w:val="annotation text"/>
    <w:basedOn w:val="Normal"/>
    <w:link w:val="CommentTextChar"/>
    <w:uiPriority w:val="99"/>
    <w:semiHidden/>
    <w:unhideWhenUsed/>
    <w:rsid w:val="009A08B2"/>
    <w:pPr>
      <w:spacing w:after="120" w:line="240" w:lineRule="auto"/>
      <w:jc w:val="both"/>
    </w:pPr>
    <w:rPr>
      <w:rFonts w:eastAsia="SimSun" w:cs="Cambria"/>
      <w:sz w:val="20"/>
      <w:szCs w:val="20"/>
      <w:lang w:val="lt-LT"/>
    </w:rPr>
  </w:style>
  <w:style w:type="character" w:customStyle="1" w:styleId="CommentTextChar">
    <w:name w:val="Comment Text Char"/>
    <w:basedOn w:val="DefaultParagraphFont"/>
    <w:link w:val="CommentText"/>
    <w:uiPriority w:val="99"/>
    <w:semiHidden/>
    <w:rsid w:val="009A08B2"/>
    <w:rPr>
      <w:rFonts w:eastAsia="SimSun" w:cs="Cambria"/>
      <w:sz w:val="20"/>
      <w:szCs w:val="20"/>
      <w:lang w:val="lt-LT"/>
    </w:rPr>
  </w:style>
  <w:style w:type="paragraph" w:styleId="NormalWeb">
    <w:name w:val="Normal (Web)"/>
    <w:basedOn w:val="Normal"/>
    <w:uiPriority w:val="99"/>
    <w:semiHidden/>
    <w:unhideWhenUsed/>
    <w:rsid w:val="001D2B8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159">
      <w:bodyDiv w:val="1"/>
      <w:marLeft w:val="0"/>
      <w:marRight w:val="0"/>
      <w:marTop w:val="0"/>
      <w:marBottom w:val="0"/>
      <w:divBdr>
        <w:top w:val="none" w:sz="0" w:space="0" w:color="auto"/>
        <w:left w:val="none" w:sz="0" w:space="0" w:color="auto"/>
        <w:bottom w:val="none" w:sz="0" w:space="0" w:color="auto"/>
        <w:right w:val="none" w:sz="0" w:space="0" w:color="auto"/>
      </w:divBdr>
    </w:div>
    <w:div w:id="115025931">
      <w:bodyDiv w:val="1"/>
      <w:marLeft w:val="0"/>
      <w:marRight w:val="0"/>
      <w:marTop w:val="0"/>
      <w:marBottom w:val="0"/>
      <w:divBdr>
        <w:top w:val="none" w:sz="0" w:space="0" w:color="auto"/>
        <w:left w:val="none" w:sz="0" w:space="0" w:color="auto"/>
        <w:bottom w:val="none" w:sz="0" w:space="0" w:color="auto"/>
        <w:right w:val="none" w:sz="0" w:space="0" w:color="auto"/>
      </w:divBdr>
    </w:div>
    <w:div w:id="446045950">
      <w:bodyDiv w:val="1"/>
      <w:marLeft w:val="0"/>
      <w:marRight w:val="0"/>
      <w:marTop w:val="0"/>
      <w:marBottom w:val="0"/>
      <w:divBdr>
        <w:top w:val="none" w:sz="0" w:space="0" w:color="auto"/>
        <w:left w:val="none" w:sz="0" w:space="0" w:color="auto"/>
        <w:bottom w:val="none" w:sz="0" w:space="0" w:color="auto"/>
        <w:right w:val="none" w:sz="0" w:space="0" w:color="auto"/>
      </w:divBdr>
    </w:div>
    <w:div w:id="757480897">
      <w:bodyDiv w:val="1"/>
      <w:marLeft w:val="0"/>
      <w:marRight w:val="0"/>
      <w:marTop w:val="0"/>
      <w:marBottom w:val="0"/>
      <w:divBdr>
        <w:top w:val="none" w:sz="0" w:space="0" w:color="auto"/>
        <w:left w:val="none" w:sz="0" w:space="0" w:color="auto"/>
        <w:bottom w:val="none" w:sz="0" w:space="0" w:color="auto"/>
        <w:right w:val="none" w:sz="0" w:space="0" w:color="auto"/>
      </w:divBdr>
    </w:div>
    <w:div w:id="826244301">
      <w:bodyDiv w:val="1"/>
      <w:marLeft w:val="0"/>
      <w:marRight w:val="0"/>
      <w:marTop w:val="0"/>
      <w:marBottom w:val="0"/>
      <w:divBdr>
        <w:top w:val="none" w:sz="0" w:space="0" w:color="auto"/>
        <w:left w:val="none" w:sz="0" w:space="0" w:color="auto"/>
        <w:bottom w:val="none" w:sz="0" w:space="0" w:color="auto"/>
        <w:right w:val="none" w:sz="0" w:space="0" w:color="auto"/>
      </w:divBdr>
    </w:div>
    <w:div w:id="108005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33905-51F8-4901-9E05-DC3493BF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 Ghita</dc:creator>
  <cp:lastModifiedBy>Roman Daniela-Felicia</cp:lastModifiedBy>
  <cp:revision>7</cp:revision>
  <cp:lastPrinted>2023-02-10T07:46:00Z</cp:lastPrinted>
  <dcterms:created xsi:type="dcterms:W3CDTF">2025-01-29T16:17:00Z</dcterms:created>
  <dcterms:modified xsi:type="dcterms:W3CDTF">2025-02-14T07:38:00Z</dcterms:modified>
</cp:coreProperties>
</file>